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E86D8" w14:textId="77777777" w:rsidR="007E4764" w:rsidRDefault="007E4764"/>
    <w:p w14:paraId="2BD7ED34" w14:textId="77777777" w:rsidR="007E4764" w:rsidRPr="00935167" w:rsidRDefault="007E4764">
      <w:pPr>
        <w:rPr>
          <w:i/>
          <w:sz w:val="26"/>
          <w:szCs w:val="26"/>
        </w:rPr>
      </w:pPr>
      <w:r w:rsidRPr="00935167">
        <w:rPr>
          <w:i/>
          <w:sz w:val="26"/>
          <w:szCs w:val="26"/>
        </w:rPr>
        <w:t xml:space="preserve">This notice is to inform all electors of T’ít’q’et that </w:t>
      </w:r>
      <w:r w:rsidR="00753356">
        <w:rPr>
          <w:i/>
          <w:sz w:val="26"/>
          <w:szCs w:val="26"/>
        </w:rPr>
        <w:t>a By-Election</w:t>
      </w:r>
      <w:r w:rsidRPr="00935167">
        <w:rPr>
          <w:i/>
          <w:sz w:val="26"/>
          <w:szCs w:val="26"/>
        </w:rPr>
        <w:t xml:space="preserve"> will be held:</w:t>
      </w:r>
    </w:p>
    <w:p w14:paraId="15B3AA7A" w14:textId="77777777" w:rsidR="007E4764" w:rsidRDefault="007E4764"/>
    <w:p w14:paraId="289FC1D8" w14:textId="77777777" w:rsidR="007E4764" w:rsidRPr="004E3F84" w:rsidRDefault="007E4764" w:rsidP="003868E4">
      <w:pPr>
        <w:rPr>
          <w:b/>
          <w:sz w:val="26"/>
          <w:szCs w:val="26"/>
        </w:rPr>
      </w:pPr>
      <w:r w:rsidRPr="004E3F84">
        <w:rPr>
          <w:b/>
          <w:sz w:val="26"/>
          <w:szCs w:val="26"/>
        </w:rPr>
        <w:t>S</w:t>
      </w:r>
      <w:r w:rsidR="00753356">
        <w:rPr>
          <w:b/>
          <w:sz w:val="26"/>
          <w:szCs w:val="26"/>
        </w:rPr>
        <w:t>aturday October 28</w:t>
      </w:r>
      <w:r w:rsidRPr="004E3F84">
        <w:rPr>
          <w:b/>
          <w:sz w:val="26"/>
          <w:szCs w:val="26"/>
        </w:rPr>
        <w:t>,</w:t>
      </w:r>
      <w:r w:rsidR="00753356">
        <w:rPr>
          <w:b/>
          <w:sz w:val="26"/>
          <w:szCs w:val="26"/>
        </w:rPr>
        <w:t xml:space="preserve"> </w:t>
      </w:r>
      <w:r w:rsidRPr="004E3F84">
        <w:rPr>
          <w:b/>
          <w:sz w:val="26"/>
          <w:szCs w:val="26"/>
        </w:rPr>
        <w:t>20</w:t>
      </w:r>
      <w:r w:rsidR="00AA724D">
        <w:rPr>
          <w:b/>
          <w:sz w:val="26"/>
          <w:szCs w:val="26"/>
        </w:rPr>
        <w:t>2</w:t>
      </w:r>
      <w:r w:rsidR="00753356">
        <w:rPr>
          <w:b/>
          <w:sz w:val="26"/>
          <w:szCs w:val="26"/>
        </w:rPr>
        <w:t>3</w:t>
      </w:r>
    </w:p>
    <w:p w14:paraId="13DC45CD" w14:textId="0ADA3343" w:rsidR="007E4764" w:rsidRPr="004E3F84" w:rsidRDefault="00AA724D" w:rsidP="003868E4">
      <w:pPr>
        <w:rPr>
          <w:b/>
          <w:sz w:val="26"/>
          <w:szCs w:val="26"/>
        </w:rPr>
      </w:pPr>
      <w:r>
        <w:rPr>
          <w:b/>
          <w:sz w:val="26"/>
          <w:szCs w:val="26"/>
        </w:rPr>
        <w:t>1</w:t>
      </w:r>
      <w:r w:rsidR="00B14450">
        <w:rPr>
          <w:b/>
          <w:sz w:val="26"/>
          <w:szCs w:val="26"/>
        </w:rPr>
        <w:t>2</w:t>
      </w:r>
      <w:r>
        <w:rPr>
          <w:b/>
          <w:sz w:val="26"/>
          <w:szCs w:val="26"/>
        </w:rPr>
        <w:t>:00</w:t>
      </w:r>
      <w:r w:rsidR="007E4764" w:rsidRPr="004E3F84">
        <w:rPr>
          <w:b/>
          <w:sz w:val="26"/>
          <w:szCs w:val="26"/>
        </w:rPr>
        <w:t xml:space="preserve"> </w:t>
      </w:r>
      <w:r w:rsidR="00B14450">
        <w:rPr>
          <w:b/>
          <w:sz w:val="26"/>
          <w:szCs w:val="26"/>
        </w:rPr>
        <w:t>p</w:t>
      </w:r>
      <w:r>
        <w:rPr>
          <w:b/>
          <w:sz w:val="26"/>
          <w:szCs w:val="26"/>
        </w:rPr>
        <w:t>.</w:t>
      </w:r>
      <w:r w:rsidR="007E4764" w:rsidRPr="004E3F84">
        <w:rPr>
          <w:b/>
          <w:sz w:val="26"/>
          <w:szCs w:val="26"/>
        </w:rPr>
        <w:t>m</w:t>
      </w:r>
      <w:r>
        <w:rPr>
          <w:b/>
          <w:sz w:val="26"/>
          <w:szCs w:val="26"/>
        </w:rPr>
        <w:t>.</w:t>
      </w:r>
    </w:p>
    <w:p w14:paraId="046E8425" w14:textId="77777777" w:rsidR="007E4764" w:rsidRPr="004E3F84" w:rsidRDefault="007E4764" w:rsidP="003868E4">
      <w:pPr>
        <w:rPr>
          <w:b/>
          <w:sz w:val="26"/>
          <w:szCs w:val="26"/>
        </w:rPr>
      </w:pPr>
      <w:r w:rsidRPr="004E3F84">
        <w:rPr>
          <w:b/>
          <w:sz w:val="26"/>
          <w:szCs w:val="26"/>
        </w:rPr>
        <w:t>P’egp’íg’lha Community Centre 59 Retasket Street</w:t>
      </w:r>
      <w:r w:rsidR="007F148A" w:rsidRPr="004E3F84">
        <w:rPr>
          <w:b/>
          <w:sz w:val="26"/>
          <w:szCs w:val="26"/>
        </w:rPr>
        <w:t>, T’ít’q’et IR 1</w:t>
      </w:r>
    </w:p>
    <w:p w14:paraId="1ED03B89" w14:textId="77777777" w:rsidR="007E4764" w:rsidRPr="00343D30" w:rsidRDefault="007E4764" w:rsidP="007E4764">
      <w:pPr>
        <w:jc w:val="center"/>
        <w:rPr>
          <w:sz w:val="16"/>
          <w:szCs w:val="16"/>
        </w:rPr>
      </w:pPr>
    </w:p>
    <w:p w14:paraId="3588C42C" w14:textId="77777777" w:rsidR="007E4764" w:rsidRPr="00343D30" w:rsidRDefault="007E4764" w:rsidP="007E4764">
      <w:pPr>
        <w:rPr>
          <w:sz w:val="16"/>
          <w:szCs w:val="16"/>
        </w:rPr>
      </w:pPr>
    </w:p>
    <w:p w14:paraId="5ADA97CF" w14:textId="77777777" w:rsidR="007E4764" w:rsidRDefault="007E4764" w:rsidP="007E4764">
      <w:r>
        <w:t>Elections for the following positions:</w:t>
      </w:r>
    </w:p>
    <w:p w14:paraId="0EFED983" w14:textId="77777777" w:rsidR="007E4764" w:rsidRPr="00343D30" w:rsidRDefault="007E4764" w:rsidP="007E4764">
      <w:pPr>
        <w:rPr>
          <w:sz w:val="16"/>
          <w:szCs w:val="16"/>
        </w:rPr>
      </w:pPr>
    </w:p>
    <w:p w14:paraId="104B556C" w14:textId="5AA26B06" w:rsidR="00DD1824" w:rsidRDefault="00DD1824" w:rsidP="00343D30">
      <w:pPr>
        <w:spacing w:after="240"/>
      </w:pPr>
      <w:r>
        <w:t>One (1) Tribal Chief</w:t>
      </w:r>
    </w:p>
    <w:p w14:paraId="61EB2CFC" w14:textId="4D2AC81B" w:rsidR="007E4764" w:rsidRDefault="00BD22A0" w:rsidP="00343D30">
      <w:pPr>
        <w:spacing w:after="240"/>
      </w:pPr>
      <w:r>
        <w:t>Two</w:t>
      </w:r>
      <w:r w:rsidR="00753356">
        <w:t xml:space="preserve"> </w:t>
      </w:r>
      <w:r w:rsidR="007E4764">
        <w:t>(</w:t>
      </w:r>
      <w:r>
        <w:t>2</w:t>
      </w:r>
      <w:r w:rsidR="007E4764">
        <w:t>) Councillor</w:t>
      </w:r>
      <w:r>
        <w:t>’s</w:t>
      </w:r>
    </w:p>
    <w:p w14:paraId="1629BACF" w14:textId="77777777" w:rsidR="007E4764" w:rsidRPr="00343D30" w:rsidRDefault="007E4764" w:rsidP="007E4764">
      <w:pPr>
        <w:rPr>
          <w:sz w:val="16"/>
          <w:szCs w:val="16"/>
        </w:rPr>
      </w:pPr>
    </w:p>
    <w:p w14:paraId="59F042F5" w14:textId="77777777" w:rsidR="00EF6F5B" w:rsidRDefault="00343D30" w:rsidP="007E4764">
      <w:pPr>
        <w:rPr>
          <w:b/>
          <w:szCs w:val="24"/>
        </w:rPr>
      </w:pPr>
      <w:r w:rsidRPr="00343D30">
        <w:rPr>
          <w:b/>
          <w:szCs w:val="24"/>
        </w:rPr>
        <w:t>Election Code</w:t>
      </w:r>
    </w:p>
    <w:p w14:paraId="71458DD6" w14:textId="77777777" w:rsidR="0027534D" w:rsidRPr="0027534D" w:rsidRDefault="0027534D" w:rsidP="007E4764">
      <w:pPr>
        <w:rPr>
          <w:b/>
          <w:sz w:val="16"/>
          <w:szCs w:val="16"/>
        </w:rPr>
      </w:pPr>
    </w:p>
    <w:p w14:paraId="145F4CF8" w14:textId="77777777" w:rsidR="00EF6F5B" w:rsidRDefault="00EF6F5B" w:rsidP="007E4764">
      <w:r>
        <w:t>Copies of the Election Code may be obt</w:t>
      </w:r>
      <w:r w:rsidR="007265D9">
        <w:t xml:space="preserve">ained at the </w:t>
      </w:r>
      <w:r w:rsidR="0038152A">
        <w:t>T’ít’q’et reception desk</w:t>
      </w:r>
      <w:r>
        <w:t xml:space="preserve">; or on request via email from </w:t>
      </w:r>
      <w:hyperlink r:id="rId8" w:history="1">
        <w:r w:rsidRPr="00C13D44">
          <w:rPr>
            <w:rStyle w:val="Hyperlink"/>
          </w:rPr>
          <w:t>reception@titqet.org</w:t>
        </w:r>
      </w:hyperlink>
    </w:p>
    <w:p w14:paraId="2718943F" w14:textId="77777777" w:rsidR="00EF6F5B" w:rsidRPr="00343D30" w:rsidRDefault="00EF6F5B" w:rsidP="007E4764">
      <w:pPr>
        <w:rPr>
          <w:sz w:val="16"/>
          <w:szCs w:val="16"/>
        </w:rPr>
      </w:pPr>
    </w:p>
    <w:p w14:paraId="74FBF9AB" w14:textId="6ACB2FEB" w:rsidR="00EF6F5B" w:rsidRDefault="00EF6F5B" w:rsidP="007E4764">
      <w:r>
        <w:t xml:space="preserve">Electors may confirm that their names are on the Voters List by viewing the Voters List posted at the </w:t>
      </w:r>
      <w:r w:rsidR="006F3B6F">
        <w:t>P’egp’íg’lha</w:t>
      </w:r>
      <w:r>
        <w:t xml:space="preserve"> Community Centre.</w:t>
      </w:r>
    </w:p>
    <w:p w14:paraId="01A60B96" w14:textId="77777777" w:rsidR="00343D30" w:rsidRDefault="00343D30" w:rsidP="007E4764"/>
    <w:p w14:paraId="5A1733B6" w14:textId="77777777" w:rsidR="00343D30" w:rsidRPr="00343D30" w:rsidRDefault="00343D30" w:rsidP="007E4764">
      <w:pPr>
        <w:rPr>
          <w:b/>
        </w:rPr>
      </w:pPr>
      <w:r w:rsidRPr="00343D30">
        <w:rPr>
          <w:b/>
        </w:rPr>
        <w:t>Proxy</w:t>
      </w:r>
    </w:p>
    <w:p w14:paraId="4727AC21" w14:textId="77777777" w:rsidR="00CD6D2E" w:rsidRPr="00343D30" w:rsidRDefault="00CD6D2E" w:rsidP="007E4764">
      <w:pPr>
        <w:rPr>
          <w:sz w:val="16"/>
          <w:szCs w:val="16"/>
        </w:rPr>
      </w:pPr>
    </w:p>
    <w:p w14:paraId="58033937" w14:textId="6613BAA6" w:rsidR="00CD6D2E" w:rsidRDefault="00CD6D2E" w:rsidP="00CD6D2E">
      <w:pPr>
        <w:rPr>
          <w:lang w:val="en-US"/>
        </w:rPr>
      </w:pPr>
      <w:r w:rsidRPr="00632EF2">
        <w:rPr>
          <w:lang w:val="en-US"/>
        </w:rPr>
        <w:t>Prox</w:t>
      </w:r>
      <w:r>
        <w:rPr>
          <w:lang w:val="en-US"/>
        </w:rPr>
        <w:t>y</w:t>
      </w:r>
      <w:r w:rsidRPr="00632EF2">
        <w:rPr>
          <w:lang w:val="en-US"/>
        </w:rPr>
        <w:t xml:space="preserve"> or notice of proxies held must be file</w:t>
      </w:r>
      <w:r w:rsidR="007265D9">
        <w:rPr>
          <w:lang w:val="en-US"/>
        </w:rPr>
        <w:t xml:space="preserve">d with T’ít’q’et </w:t>
      </w:r>
      <w:r w:rsidRPr="00632EF2">
        <w:rPr>
          <w:lang w:val="en-US"/>
        </w:rPr>
        <w:t xml:space="preserve">no later than </w:t>
      </w:r>
      <w:r>
        <w:rPr>
          <w:lang w:val="en-US"/>
        </w:rPr>
        <w:t xml:space="preserve">4:00 p.m. local time Friday, </w:t>
      </w:r>
      <w:r w:rsidR="00753356">
        <w:rPr>
          <w:lang w:val="en-US"/>
        </w:rPr>
        <w:t xml:space="preserve">October </w:t>
      </w:r>
      <w:r w:rsidR="00DD1824">
        <w:rPr>
          <w:lang w:val="en-US"/>
        </w:rPr>
        <w:t>2</w:t>
      </w:r>
      <w:r w:rsidR="00753356">
        <w:rPr>
          <w:lang w:val="en-US"/>
        </w:rPr>
        <w:t>7</w:t>
      </w:r>
      <w:r w:rsidR="007265D9">
        <w:rPr>
          <w:lang w:val="en-US"/>
        </w:rPr>
        <w:t>, 20</w:t>
      </w:r>
      <w:r w:rsidR="00AA724D">
        <w:rPr>
          <w:lang w:val="en-US"/>
        </w:rPr>
        <w:t>2</w:t>
      </w:r>
      <w:r w:rsidR="00DD1824">
        <w:rPr>
          <w:lang w:val="en-US"/>
        </w:rPr>
        <w:t>3</w:t>
      </w:r>
      <w:r w:rsidRPr="00632EF2">
        <w:rPr>
          <w:lang w:val="en-US"/>
        </w:rPr>
        <w:t>.</w:t>
      </w:r>
      <w:r>
        <w:rPr>
          <w:lang w:val="en-US"/>
        </w:rPr>
        <w:t xml:space="preserve"> Proxy</w:t>
      </w:r>
      <w:r w:rsidR="0038152A">
        <w:rPr>
          <w:lang w:val="en-US"/>
        </w:rPr>
        <w:t xml:space="preserve"> may</w:t>
      </w:r>
      <w:r w:rsidRPr="00632EF2">
        <w:rPr>
          <w:lang w:val="en-US"/>
        </w:rPr>
        <w:t xml:space="preserve"> </w:t>
      </w:r>
      <w:r w:rsidR="0038152A">
        <w:rPr>
          <w:lang w:val="en-US"/>
        </w:rPr>
        <w:t xml:space="preserve">be faxed to (250) 256 – 4544, </w:t>
      </w:r>
      <w:r w:rsidRPr="00632EF2">
        <w:rPr>
          <w:lang w:val="en-US"/>
        </w:rPr>
        <w:t xml:space="preserve">emailed to </w:t>
      </w:r>
      <w:hyperlink r:id="rId9" w:history="1">
        <w:r w:rsidR="007265D9" w:rsidRPr="00C13D44">
          <w:rPr>
            <w:rStyle w:val="Hyperlink"/>
            <w:lang w:val="en-US"/>
          </w:rPr>
          <w:t>reception@titqet.org</w:t>
        </w:r>
      </w:hyperlink>
      <w:r w:rsidR="0038152A">
        <w:rPr>
          <w:lang w:val="en-US"/>
        </w:rPr>
        <w:t xml:space="preserve"> or dropped off at the reception desk at 59 Retasket Street.</w:t>
      </w:r>
      <w:r w:rsidR="00935167">
        <w:rPr>
          <w:lang w:val="en-US"/>
        </w:rPr>
        <w:t xml:space="preserve">  </w:t>
      </w:r>
      <w:r w:rsidR="00812F00">
        <w:rPr>
          <w:lang w:val="en-US"/>
        </w:rPr>
        <w:t xml:space="preserve">To receive a Proxy form, please contact </w:t>
      </w:r>
      <w:hyperlink r:id="rId10" w:history="1">
        <w:r w:rsidR="00812F00" w:rsidRPr="00C13D44">
          <w:rPr>
            <w:rStyle w:val="Hyperlink"/>
            <w:lang w:val="en-US"/>
          </w:rPr>
          <w:t>reception@titqet.org</w:t>
        </w:r>
      </w:hyperlink>
      <w:r w:rsidR="00694F83">
        <w:rPr>
          <w:lang w:val="en-US"/>
        </w:rPr>
        <w:t xml:space="preserve"> or call 250.256.4118, or pick one up at the T’ít’q’et reception desk</w:t>
      </w:r>
      <w:r w:rsidR="00812F00">
        <w:rPr>
          <w:lang w:val="en-US"/>
        </w:rPr>
        <w:t xml:space="preserve">. </w:t>
      </w:r>
      <w:r w:rsidR="00935167">
        <w:rPr>
          <w:lang w:val="en-US"/>
        </w:rPr>
        <w:t>An eligible voter may carry only one proxy.</w:t>
      </w:r>
    </w:p>
    <w:p w14:paraId="0EB6DAE9" w14:textId="77777777" w:rsidR="007E4764" w:rsidRPr="00343D30" w:rsidRDefault="007E4764" w:rsidP="007E4764">
      <w:pPr>
        <w:rPr>
          <w:sz w:val="16"/>
          <w:szCs w:val="16"/>
        </w:rPr>
      </w:pPr>
    </w:p>
    <w:p w14:paraId="17F8CDA7" w14:textId="77777777" w:rsidR="00CD6D2E" w:rsidRDefault="00CD6D2E" w:rsidP="00CD6D2E">
      <w:pPr>
        <w:rPr>
          <w:lang w:val="en-US"/>
        </w:rPr>
      </w:pPr>
      <w:r w:rsidRPr="00632EF2">
        <w:rPr>
          <w:lang w:val="en-US"/>
        </w:rPr>
        <w:t xml:space="preserve">It is the responsibility of the member to </w:t>
      </w:r>
      <w:r w:rsidR="007265D9">
        <w:rPr>
          <w:lang w:val="en-US"/>
        </w:rPr>
        <w:t xml:space="preserve">follow up with the receptionist </w:t>
      </w:r>
      <w:r w:rsidR="0038152A">
        <w:rPr>
          <w:lang w:val="en-US"/>
        </w:rPr>
        <w:t>(</w:t>
      </w:r>
      <w:hyperlink r:id="rId11" w:history="1">
        <w:r w:rsidR="0038152A" w:rsidRPr="00C13D44">
          <w:rPr>
            <w:rStyle w:val="Hyperlink"/>
            <w:lang w:val="en-US"/>
          </w:rPr>
          <w:t>reception@titqet.org</w:t>
        </w:r>
      </w:hyperlink>
      <w:r w:rsidR="0038152A">
        <w:rPr>
          <w:lang w:val="en-US"/>
        </w:rPr>
        <w:t xml:space="preserve"> or call 250.256.4118) </w:t>
      </w:r>
      <w:r w:rsidR="007265D9">
        <w:rPr>
          <w:lang w:val="en-US"/>
        </w:rPr>
        <w:t>to ensure the emailed or faxed proxy form is received.</w:t>
      </w:r>
    </w:p>
    <w:p w14:paraId="3EF62B34" w14:textId="77777777" w:rsidR="005E4EE5" w:rsidRPr="00343D30" w:rsidRDefault="005E4EE5" w:rsidP="00CD6D2E">
      <w:pPr>
        <w:rPr>
          <w:sz w:val="16"/>
          <w:szCs w:val="16"/>
          <w:lang w:val="en-US"/>
        </w:rPr>
      </w:pPr>
    </w:p>
    <w:p w14:paraId="04E431D3" w14:textId="77777777" w:rsidR="005E4EE5" w:rsidRPr="00935167" w:rsidRDefault="005E4EE5" w:rsidP="00CD6D2E">
      <w:pPr>
        <w:rPr>
          <w:b/>
          <w:lang w:val="en-US"/>
        </w:rPr>
      </w:pPr>
      <w:r w:rsidRPr="00935167">
        <w:rPr>
          <w:b/>
          <w:lang w:val="en-US"/>
        </w:rPr>
        <w:t>Eligibility of Voters:</w:t>
      </w:r>
    </w:p>
    <w:p w14:paraId="41582D84" w14:textId="77777777" w:rsidR="005E4EE5" w:rsidRPr="00343D30" w:rsidRDefault="005E4EE5" w:rsidP="00CD6D2E">
      <w:pPr>
        <w:rPr>
          <w:sz w:val="16"/>
          <w:szCs w:val="16"/>
          <w:lang w:val="en-US"/>
        </w:rPr>
      </w:pPr>
    </w:p>
    <w:p w14:paraId="6ED6EDD4" w14:textId="77777777" w:rsidR="005E4EE5" w:rsidRDefault="005E4EE5" w:rsidP="00CD6D2E">
      <w:pPr>
        <w:rPr>
          <w:lang w:val="en-US"/>
        </w:rPr>
      </w:pPr>
      <w:r>
        <w:rPr>
          <w:lang w:val="en-US"/>
        </w:rPr>
        <w:t>In order to be entitled to vote in an election, a person must, as of the date of the election:</w:t>
      </w:r>
    </w:p>
    <w:p w14:paraId="466EC5CB" w14:textId="77777777" w:rsidR="00C808AA" w:rsidRPr="00C808AA" w:rsidRDefault="00C808AA" w:rsidP="00CD6D2E">
      <w:pPr>
        <w:rPr>
          <w:sz w:val="16"/>
          <w:szCs w:val="16"/>
          <w:lang w:val="en-US"/>
        </w:rPr>
      </w:pPr>
    </w:p>
    <w:p w14:paraId="22A6C641" w14:textId="77777777" w:rsidR="005E4EE5" w:rsidRDefault="005E4EE5" w:rsidP="00CD6D2E">
      <w:pPr>
        <w:rPr>
          <w:lang w:val="en-US"/>
        </w:rPr>
      </w:pPr>
      <w:r>
        <w:rPr>
          <w:lang w:val="en-US"/>
        </w:rPr>
        <w:t>a)</w:t>
      </w:r>
      <w:r>
        <w:rPr>
          <w:lang w:val="en-US"/>
        </w:rPr>
        <w:tab/>
        <w:t>have attained the age of eighteen (18) years;</w:t>
      </w:r>
    </w:p>
    <w:p w14:paraId="7310665B" w14:textId="77777777" w:rsidR="005E4EE5" w:rsidRDefault="005E4EE5" w:rsidP="00CD6D2E">
      <w:pPr>
        <w:rPr>
          <w:lang w:val="en-US"/>
        </w:rPr>
      </w:pPr>
      <w:r>
        <w:rPr>
          <w:lang w:val="en-US"/>
        </w:rPr>
        <w:t>b)</w:t>
      </w:r>
      <w:r>
        <w:rPr>
          <w:lang w:val="en-US"/>
        </w:rPr>
        <w:tab/>
        <w:t>be listed on the Membership Roll; and</w:t>
      </w:r>
    </w:p>
    <w:p w14:paraId="57339A7B" w14:textId="77777777" w:rsidR="005E4EE5" w:rsidRDefault="005E4EE5" w:rsidP="00CD6D2E">
      <w:pPr>
        <w:rPr>
          <w:lang w:val="en-US"/>
        </w:rPr>
      </w:pPr>
      <w:r>
        <w:rPr>
          <w:lang w:val="en-US"/>
        </w:rPr>
        <w:t>c)</w:t>
      </w:r>
      <w:r>
        <w:rPr>
          <w:lang w:val="en-US"/>
        </w:rPr>
        <w:tab/>
        <w:t>be included on the Voters’ List.</w:t>
      </w:r>
    </w:p>
    <w:p w14:paraId="71BA5066" w14:textId="77777777" w:rsidR="00CA467F" w:rsidRPr="00343D30" w:rsidRDefault="00CA467F" w:rsidP="00CD6D2E">
      <w:pPr>
        <w:rPr>
          <w:sz w:val="16"/>
          <w:szCs w:val="16"/>
          <w:lang w:val="en-US"/>
        </w:rPr>
      </w:pPr>
    </w:p>
    <w:p w14:paraId="13AB5297" w14:textId="77777777" w:rsidR="00CA467F" w:rsidRPr="00935167" w:rsidRDefault="00CA467F" w:rsidP="00CD6D2E">
      <w:pPr>
        <w:rPr>
          <w:b/>
          <w:lang w:val="en-US"/>
        </w:rPr>
      </w:pPr>
      <w:r w:rsidRPr="00935167">
        <w:rPr>
          <w:b/>
          <w:lang w:val="en-US"/>
        </w:rPr>
        <w:t>Eligibility of Candidates</w:t>
      </w:r>
    </w:p>
    <w:p w14:paraId="2E8C364F" w14:textId="77777777" w:rsidR="00CA467F" w:rsidRPr="00343D30" w:rsidRDefault="00CA467F" w:rsidP="00CD6D2E">
      <w:pPr>
        <w:rPr>
          <w:sz w:val="16"/>
          <w:szCs w:val="16"/>
          <w:lang w:val="en-US"/>
        </w:rPr>
      </w:pPr>
    </w:p>
    <w:p w14:paraId="540C4B2A" w14:textId="77777777" w:rsidR="00CA467F" w:rsidRDefault="00CA467F" w:rsidP="00CD6D2E">
      <w:pPr>
        <w:rPr>
          <w:lang w:val="en-US"/>
        </w:rPr>
      </w:pPr>
      <w:r>
        <w:rPr>
          <w:lang w:val="en-US"/>
        </w:rPr>
        <w:t xml:space="preserve">To be eligible as a candidate for the office </w:t>
      </w:r>
      <w:r w:rsidR="006747B8">
        <w:rPr>
          <w:lang w:val="en-US"/>
        </w:rPr>
        <w:t>of Triba</w:t>
      </w:r>
      <w:r>
        <w:rPr>
          <w:lang w:val="en-US"/>
        </w:rPr>
        <w:t>l Chief or Community Chief or Counsellor, the candidate must:</w:t>
      </w:r>
    </w:p>
    <w:p w14:paraId="76AC7B9F" w14:textId="77777777" w:rsidR="008C4A00" w:rsidRDefault="008C4A00" w:rsidP="00CD6D2E">
      <w:pPr>
        <w:rPr>
          <w:lang w:val="en-US"/>
        </w:rPr>
      </w:pPr>
    </w:p>
    <w:p w14:paraId="520F7C25" w14:textId="77777777" w:rsidR="00CA467F" w:rsidRDefault="00CA467F" w:rsidP="00CA467F">
      <w:pPr>
        <w:pStyle w:val="ListParagraph"/>
        <w:numPr>
          <w:ilvl w:val="0"/>
          <w:numId w:val="1"/>
        </w:numPr>
        <w:rPr>
          <w:lang w:val="en-US"/>
        </w:rPr>
      </w:pPr>
      <w:r>
        <w:rPr>
          <w:lang w:val="en-US"/>
        </w:rPr>
        <w:t xml:space="preserve">Be eligible as Voter, as defined in the </w:t>
      </w:r>
      <w:r w:rsidR="009401C3">
        <w:rPr>
          <w:lang w:val="en-US"/>
        </w:rPr>
        <w:t>T’ít’q’et Election Code</w:t>
      </w:r>
    </w:p>
    <w:p w14:paraId="371A7B2C" w14:textId="77777777" w:rsidR="009401C3" w:rsidRDefault="009401C3" w:rsidP="00CA467F">
      <w:pPr>
        <w:pStyle w:val="ListParagraph"/>
        <w:numPr>
          <w:ilvl w:val="0"/>
          <w:numId w:val="1"/>
        </w:numPr>
        <w:rPr>
          <w:lang w:val="en-US"/>
        </w:rPr>
      </w:pPr>
      <w:r>
        <w:rPr>
          <w:lang w:val="en-US"/>
        </w:rPr>
        <w:lastRenderedPageBreak/>
        <w:t>Be nominated for that office, in accordance with procedures set out in the T’ít’q’et Election Code;</w:t>
      </w:r>
    </w:p>
    <w:p w14:paraId="0DF417C3" w14:textId="77777777" w:rsidR="009401C3" w:rsidRDefault="009401C3" w:rsidP="00CA467F">
      <w:pPr>
        <w:pStyle w:val="ListParagraph"/>
        <w:numPr>
          <w:ilvl w:val="0"/>
          <w:numId w:val="1"/>
        </w:numPr>
        <w:rPr>
          <w:lang w:val="en-US"/>
        </w:rPr>
      </w:pPr>
      <w:r>
        <w:rPr>
          <w:lang w:val="en-US"/>
        </w:rPr>
        <w:t>Be “in good standing” with T’ít’q’et Administration.  For added clarity “Administration” in this section does not include other T’ít’q’et entities, such as registered companies or societies that are wholly or partially owned by T’ít’q’et;</w:t>
      </w:r>
    </w:p>
    <w:p w14:paraId="68403FF8" w14:textId="1A40283C" w:rsidR="009401C3" w:rsidRDefault="009401C3" w:rsidP="00CA467F">
      <w:pPr>
        <w:pStyle w:val="ListParagraph"/>
        <w:numPr>
          <w:ilvl w:val="0"/>
          <w:numId w:val="1"/>
        </w:numPr>
        <w:rPr>
          <w:lang w:val="en-US"/>
        </w:rPr>
      </w:pPr>
      <w:r>
        <w:rPr>
          <w:lang w:val="en-US"/>
        </w:rPr>
        <w:t xml:space="preserve">Be ordinarily resident within one hundred (100) </w:t>
      </w:r>
      <w:r w:rsidR="00B703CA">
        <w:rPr>
          <w:lang w:val="en-US"/>
        </w:rPr>
        <w:t>kilometers</w:t>
      </w:r>
      <w:r>
        <w:rPr>
          <w:lang w:val="en-US"/>
        </w:rPr>
        <w:t xml:space="preserve"> from the T’ít’q’et Main Administration Building near Lillooet; and</w:t>
      </w:r>
    </w:p>
    <w:p w14:paraId="03E30CC7" w14:textId="77777777" w:rsidR="009401C3" w:rsidRDefault="009401C3" w:rsidP="00CA467F">
      <w:pPr>
        <w:pStyle w:val="ListParagraph"/>
        <w:numPr>
          <w:ilvl w:val="0"/>
          <w:numId w:val="1"/>
        </w:numPr>
        <w:rPr>
          <w:lang w:val="en-US"/>
        </w:rPr>
      </w:pPr>
      <w:r>
        <w:rPr>
          <w:lang w:val="en-US"/>
        </w:rPr>
        <w:t xml:space="preserve">Not have been convicted of an indictable offence in Canada or a felony in the United States within four (4) years prior to his or her nomination, except, in some circumstances, where the conviction is for an offence relating to the assertion, exercise or protection of Aboriginal rights or title. </w:t>
      </w:r>
    </w:p>
    <w:p w14:paraId="386DCF30" w14:textId="77777777" w:rsidR="009401C3" w:rsidRDefault="009401C3" w:rsidP="009401C3">
      <w:pPr>
        <w:ind w:left="360"/>
        <w:rPr>
          <w:lang w:val="en-US"/>
        </w:rPr>
      </w:pPr>
    </w:p>
    <w:p w14:paraId="67B2344F" w14:textId="77777777" w:rsidR="009401C3" w:rsidRPr="00935167" w:rsidRDefault="009401C3" w:rsidP="009401C3">
      <w:pPr>
        <w:ind w:left="360"/>
        <w:rPr>
          <w:b/>
          <w:lang w:val="en-US"/>
        </w:rPr>
      </w:pPr>
      <w:r w:rsidRPr="00935167">
        <w:rPr>
          <w:b/>
          <w:lang w:val="en-US"/>
        </w:rPr>
        <w:t>Definition of “In Good standing”</w:t>
      </w:r>
    </w:p>
    <w:p w14:paraId="3A8DACAA" w14:textId="77777777" w:rsidR="009401C3" w:rsidRDefault="009401C3" w:rsidP="009401C3">
      <w:pPr>
        <w:ind w:left="360"/>
        <w:rPr>
          <w:lang w:val="en-US"/>
        </w:rPr>
      </w:pPr>
    </w:p>
    <w:p w14:paraId="6825DA29" w14:textId="77777777" w:rsidR="009401C3" w:rsidRDefault="009401C3" w:rsidP="009401C3">
      <w:pPr>
        <w:ind w:left="360"/>
        <w:rPr>
          <w:lang w:val="en-US"/>
        </w:rPr>
      </w:pPr>
      <w:r>
        <w:rPr>
          <w:lang w:val="en-US"/>
        </w:rPr>
        <w:t>“In Good standing” means that a person is not in arrears or has any overdue debts or has any outstanding or pending litigation with T’ít’q’et.</w:t>
      </w:r>
    </w:p>
    <w:p w14:paraId="0F2F4006" w14:textId="77777777" w:rsidR="003868E4" w:rsidRDefault="003868E4" w:rsidP="009401C3">
      <w:pPr>
        <w:ind w:left="360"/>
        <w:rPr>
          <w:lang w:val="en-US"/>
        </w:rPr>
      </w:pPr>
    </w:p>
    <w:p w14:paraId="22B7D397" w14:textId="77777777" w:rsidR="003868E4" w:rsidRPr="009401C3" w:rsidRDefault="003868E4" w:rsidP="009401C3">
      <w:pPr>
        <w:ind w:left="360"/>
        <w:rPr>
          <w:lang w:val="en-US"/>
        </w:rPr>
      </w:pPr>
      <w:r>
        <w:rPr>
          <w:lang w:val="en-US"/>
        </w:rPr>
        <w:t>To confirm ahead of the election if you are “in good standing”, contact the Administrator at 250.256.4118 ext. 223 or email tfnadmin@titqet.org.</w:t>
      </w:r>
    </w:p>
    <w:p w14:paraId="013CFE2F" w14:textId="77777777" w:rsidR="005E4EE5" w:rsidRDefault="005E4EE5" w:rsidP="00CD6D2E">
      <w:pPr>
        <w:rPr>
          <w:lang w:val="en-US"/>
        </w:rPr>
      </w:pPr>
    </w:p>
    <w:p w14:paraId="1BEFF8A4" w14:textId="77777777" w:rsidR="00CD6D2E" w:rsidRDefault="00CD6D2E" w:rsidP="007E4764"/>
    <w:p w14:paraId="60225B75" w14:textId="77777777" w:rsidR="007E4764" w:rsidRDefault="007E4764"/>
    <w:p w14:paraId="211B7F78" w14:textId="77777777" w:rsidR="007E4764" w:rsidRDefault="007E4764"/>
    <w:p w14:paraId="36F5E63A" w14:textId="77777777" w:rsidR="007E4764" w:rsidRDefault="007E4764"/>
    <w:p w14:paraId="128E0B6D" w14:textId="77777777" w:rsidR="007E4764" w:rsidRDefault="007E4764"/>
    <w:p w14:paraId="6E590B98" w14:textId="77777777" w:rsidR="007E4764" w:rsidRDefault="007E4764"/>
    <w:p w14:paraId="691EAC7E" w14:textId="77777777" w:rsidR="007E4764" w:rsidRDefault="007E4764"/>
    <w:p w14:paraId="58CC5BBA" w14:textId="77777777" w:rsidR="007E4764" w:rsidRDefault="007E4764"/>
    <w:sectPr w:rsidR="007E4764" w:rsidSect="007E4764">
      <w:headerReference w:type="first" r:id="rId12"/>
      <w:pgSz w:w="12240" w:h="15840"/>
      <w:pgMar w:top="1440" w:right="1440" w:bottom="1440" w:left="1440" w:header="720" w:footer="720" w:gutter="0"/>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81E0" w14:textId="77777777" w:rsidR="00E72A53" w:rsidRDefault="00E72A53" w:rsidP="007E4764">
      <w:r>
        <w:separator/>
      </w:r>
    </w:p>
  </w:endnote>
  <w:endnote w:type="continuationSeparator" w:id="0">
    <w:p w14:paraId="30B5C276" w14:textId="77777777" w:rsidR="00E72A53" w:rsidRDefault="00E72A53" w:rsidP="007E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92586" w14:textId="77777777" w:rsidR="00E72A53" w:rsidRDefault="00E72A53" w:rsidP="007E4764">
      <w:r>
        <w:separator/>
      </w:r>
    </w:p>
  </w:footnote>
  <w:footnote w:type="continuationSeparator" w:id="0">
    <w:p w14:paraId="3E788BB6" w14:textId="77777777" w:rsidR="00E72A53" w:rsidRDefault="00E72A53" w:rsidP="007E4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23EC4" w14:textId="77777777" w:rsidR="00343D30" w:rsidRPr="00343D30" w:rsidRDefault="007E4764" w:rsidP="00343D30">
    <w:pPr>
      <w:pStyle w:val="Header"/>
      <w:spacing w:after="240" w:line="240" w:lineRule="exact"/>
      <w:rPr>
        <w:rFonts w:ascii="Lucida Calligraphy" w:hAnsi="Lucida Calligraphy"/>
        <w:b/>
        <w:spacing w:val="-20"/>
        <w:sz w:val="28"/>
        <w:szCs w:val="28"/>
      </w:rPr>
    </w:pPr>
    <w:r>
      <w:rPr>
        <w:rFonts w:ascii="Lucida Calligraphy" w:hAnsi="Lucida Calligraphy"/>
        <w:noProof/>
        <w:spacing w:val="-20"/>
        <w:sz w:val="36"/>
        <w:lang w:eastAsia="en-CA"/>
      </w:rPr>
      <w:drawing>
        <wp:anchor distT="0" distB="0" distL="114300" distR="114300" simplePos="0" relativeHeight="251659264" behindDoc="0" locked="0" layoutInCell="1" allowOverlap="1" wp14:anchorId="3DE05116" wp14:editId="61939C58">
          <wp:simplePos x="0" y="0"/>
          <wp:positionH relativeFrom="column">
            <wp:posOffset>-400050</wp:posOffset>
          </wp:positionH>
          <wp:positionV relativeFrom="paragraph">
            <wp:posOffset>-9525</wp:posOffset>
          </wp:positionV>
          <wp:extent cx="475488" cy="621792"/>
          <wp:effectExtent l="0" t="0" r="1270" b="6985"/>
          <wp:wrapNone/>
          <wp:docPr id="1" name="Picture 1" descr="\\Admin01\company\Logo2002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01\company\Logo2002c(2).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5488" cy="62179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lang w:val="en-US"/>
      </w:rPr>
      <w:t xml:space="preserve">                                                               </w:t>
    </w:r>
    <w:r w:rsidR="00343D30" w:rsidRPr="00343D30">
      <w:rPr>
        <w:rFonts w:ascii="Helvetica" w:hAnsi="Helvetica" w:cs="Helvetica"/>
        <w:b/>
        <w:sz w:val="28"/>
        <w:szCs w:val="28"/>
        <w:lang w:val="en-US"/>
      </w:rPr>
      <w:t>T’ít’q’et</w:t>
    </w:r>
  </w:p>
  <w:p w14:paraId="372ED958" w14:textId="77777777" w:rsidR="00343D30" w:rsidRPr="00343D30" w:rsidRDefault="00753356" w:rsidP="00343D30">
    <w:pPr>
      <w:jc w:val="center"/>
      <w:rPr>
        <w:rFonts w:ascii="Helvetica" w:hAnsi="Helvetica" w:cs="Helvetica"/>
        <w:b/>
        <w:sz w:val="28"/>
        <w:szCs w:val="28"/>
        <w:lang w:val="en-US"/>
      </w:rPr>
    </w:pPr>
    <w:r>
      <w:rPr>
        <w:rFonts w:ascii="Helvetica" w:hAnsi="Helvetica" w:cs="Helvetica"/>
        <w:b/>
        <w:sz w:val="28"/>
        <w:szCs w:val="28"/>
        <w:lang w:val="en-US"/>
      </w:rPr>
      <w:t>By-</w:t>
    </w:r>
    <w:r w:rsidR="00343D30" w:rsidRPr="00343D30">
      <w:rPr>
        <w:rFonts w:ascii="Helvetica" w:hAnsi="Helvetica" w:cs="Helvetica"/>
        <w:b/>
        <w:sz w:val="28"/>
        <w:szCs w:val="28"/>
        <w:lang w:val="en-US"/>
      </w:rPr>
      <w:t>Election Notice</w:t>
    </w:r>
  </w:p>
  <w:p w14:paraId="1B54CD6D" w14:textId="77777777" w:rsidR="007E4764" w:rsidRPr="007E4764" w:rsidRDefault="007E4764" w:rsidP="00343D30">
    <w:pPr>
      <w:pStyle w:val="Header"/>
      <w:rPr>
        <w:rFonts w:ascii="Helvetica" w:hAnsi="Helvetica" w:cs="Helvetica"/>
        <w:b/>
        <w:lang w:val="en-US"/>
      </w:rPr>
    </w:pPr>
  </w:p>
  <w:p w14:paraId="1F599AE1" w14:textId="77777777" w:rsidR="007C0980" w:rsidRPr="007E4764" w:rsidRDefault="007C0980" w:rsidP="007E4764">
    <w:pPr>
      <w:pStyle w:val="Header"/>
      <w:tabs>
        <w:tab w:val="clear" w:pos="4320"/>
        <w:tab w:val="clear" w:pos="8640"/>
        <w:tab w:val="left" w:pos="10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12233"/>
    <w:multiLevelType w:val="hybridMultilevel"/>
    <w:tmpl w:val="30545CC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558100E"/>
    <w:multiLevelType w:val="hybridMultilevel"/>
    <w:tmpl w:val="2436B8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11205972">
    <w:abstractNumId w:val="0"/>
  </w:num>
  <w:num w:numId="2" w16cid:durableId="838887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764"/>
    <w:rsid w:val="002552D7"/>
    <w:rsid w:val="0027534D"/>
    <w:rsid w:val="00343D30"/>
    <w:rsid w:val="0038152A"/>
    <w:rsid w:val="003868E4"/>
    <w:rsid w:val="003F08F5"/>
    <w:rsid w:val="004E3F84"/>
    <w:rsid w:val="005965A7"/>
    <w:rsid w:val="005E4EE5"/>
    <w:rsid w:val="006747B8"/>
    <w:rsid w:val="00694F83"/>
    <w:rsid w:val="006F3B6F"/>
    <w:rsid w:val="007265D9"/>
    <w:rsid w:val="00753356"/>
    <w:rsid w:val="007C0980"/>
    <w:rsid w:val="007E4764"/>
    <w:rsid w:val="007F148A"/>
    <w:rsid w:val="00812F00"/>
    <w:rsid w:val="008C4A00"/>
    <w:rsid w:val="008F3D1B"/>
    <w:rsid w:val="00935167"/>
    <w:rsid w:val="009401C3"/>
    <w:rsid w:val="00AA724D"/>
    <w:rsid w:val="00AE39A1"/>
    <w:rsid w:val="00B14450"/>
    <w:rsid w:val="00B703CA"/>
    <w:rsid w:val="00B8420B"/>
    <w:rsid w:val="00BD22A0"/>
    <w:rsid w:val="00C808AA"/>
    <w:rsid w:val="00CA467F"/>
    <w:rsid w:val="00CD6D2E"/>
    <w:rsid w:val="00DD1824"/>
    <w:rsid w:val="00E72A53"/>
    <w:rsid w:val="00EF6F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39F3A"/>
  <w15:chartTrackingRefBased/>
  <w15:docId w15:val="{9A29185F-3526-449A-9C60-D3965ECD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764"/>
    <w:pPr>
      <w:spacing w:after="0" w:line="240" w:lineRule="auto"/>
    </w:pPr>
    <w:rPr>
      <w:rFonts w:ascii="Times New Roman" w:eastAsia="Times New Roman" w:hAnsi="Times New Roman" w:cs="Times New Roman"/>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E4764"/>
    <w:pPr>
      <w:tabs>
        <w:tab w:val="center" w:pos="4320"/>
        <w:tab w:val="right" w:pos="8640"/>
      </w:tabs>
    </w:pPr>
  </w:style>
  <w:style w:type="character" w:customStyle="1" w:styleId="HeaderChar">
    <w:name w:val="Header Char"/>
    <w:basedOn w:val="DefaultParagraphFont"/>
    <w:link w:val="Header"/>
    <w:semiHidden/>
    <w:rsid w:val="007E4764"/>
    <w:rPr>
      <w:rFonts w:ascii="Times New Roman" w:eastAsia="Times New Roman" w:hAnsi="Times New Roman" w:cs="Times New Roman"/>
      <w:kern w:val="28"/>
      <w:sz w:val="24"/>
      <w:szCs w:val="20"/>
    </w:rPr>
  </w:style>
  <w:style w:type="paragraph" w:styleId="Footer">
    <w:name w:val="footer"/>
    <w:basedOn w:val="Normal"/>
    <w:link w:val="FooterChar"/>
    <w:uiPriority w:val="99"/>
    <w:unhideWhenUsed/>
    <w:rsid w:val="007E4764"/>
    <w:pPr>
      <w:tabs>
        <w:tab w:val="center" w:pos="4680"/>
        <w:tab w:val="right" w:pos="9360"/>
      </w:tabs>
    </w:pPr>
  </w:style>
  <w:style w:type="character" w:customStyle="1" w:styleId="FooterChar">
    <w:name w:val="Footer Char"/>
    <w:basedOn w:val="DefaultParagraphFont"/>
    <w:link w:val="Footer"/>
    <w:uiPriority w:val="99"/>
    <w:rsid w:val="007E4764"/>
    <w:rPr>
      <w:rFonts w:ascii="Times New Roman" w:eastAsia="Times New Roman" w:hAnsi="Times New Roman" w:cs="Times New Roman"/>
      <w:kern w:val="28"/>
      <w:sz w:val="24"/>
      <w:szCs w:val="20"/>
    </w:rPr>
  </w:style>
  <w:style w:type="character" w:styleId="Hyperlink">
    <w:name w:val="Hyperlink"/>
    <w:basedOn w:val="DefaultParagraphFont"/>
    <w:uiPriority w:val="99"/>
    <w:unhideWhenUsed/>
    <w:rsid w:val="00EF6F5B"/>
    <w:rPr>
      <w:color w:val="0563C1" w:themeColor="hyperlink"/>
      <w:u w:val="single"/>
    </w:rPr>
  </w:style>
  <w:style w:type="paragraph" w:styleId="ListParagraph">
    <w:name w:val="List Paragraph"/>
    <w:basedOn w:val="Normal"/>
    <w:uiPriority w:val="34"/>
    <w:qFormat/>
    <w:rsid w:val="00CA467F"/>
    <w:pPr>
      <w:ind w:left="720"/>
      <w:contextualSpacing/>
    </w:pPr>
  </w:style>
  <w:style w:type="paragraph" w:styleId="BalloonText">
    <w:name w:val="Balloon Text"/>
    <w:basedOn w:val="Normal"/>
    <w:link w:val="BalloonTextChar"/>
    <w:uiPriority w:val="99"/>
    <w:semiHidden/>
    <w:unhideWhenUsed/>
    <w:rsid w:val="00812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F00"/>
    <w:rPr>
      <w:rFonts w:ascii="Segoe UI" w:eastAsia="Times New Roman"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titqe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eption@titqet.org" TargetMode="External"/><Relationship Id="rId5" Type="http://schemas.openxmlformats.org/officeDocument/2006/relationships/webSettings" Target="webSettings.xml"/><Relationship Id="rId10" Type="http://schemas.openxmlformats.org/officeDocument/2006/relationships/hyperlink" Target="mailto:reception@titqet.org" TargetMode="External"/><Relationship Id="rId4" Type="http://schemas.openxmlformats.org/officeDocument/2006/relationships/settings" Target="settings.xml"/><Relationship Id="rId9" Type="http://schemas.openxmlformats.org/officeDocument/2006/relationships/hyperlink" Target="mailto:reception@titqet.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Admin01\company\Logo2002c(2).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93CA5-70A7-4632-9C65-80508496E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Skidmore</dc:creator>
  <cp:keywords/>
  <dc:description/>
  <cp:lastModifiedBy>Charlene Napoleon</cp:lastModifiedBy>
  <cp:revision>5</cp:revision>
  <cp:lastPrinted>2018-02-02T18:01:00Z</cp:lastPrinted>
  <dcterms:created xsi:type="dcterms:W3CDTF">2023-09-19T17:05:00Z</dcterms:created>
  <dcterms:modified xsi:type="dcterms:W3CDTF">2023-10-24T16:19:00Z</dcterms:modified>
</cp:coreProperties>
</file>